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60" w:rsidRDefault="00DF4F60" w:rsidP="003B1182">
      <w:pPr>
        <w:shd w:val="clear" w:color="auto" w:fill="FFFFFF"/>
        <w:spacing w:after="0" w:line="499" w:lineRule="atLeast"/>
        <w:outlineLvl w:val="0"/>
        <w:rPr>
          <w:rFonts w:ascii="Trebuchet MS" w:eastAsia="Times New Roman" w:hAnsi="Trebuchet MS" w:cs="Times New Roman"/>
          <w:i/>
          <w:iCs/>
          <w:color w:val="323232"/>
          <w:kern w:val="36"/>
          <w:sz w:val="38"/>
          <w:szCs w:val="38"/>
          <w:lang w:eastAsia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5524500" cy="4143375"/>
            <wp:effectExtent l="0" t="0" r="0" b="9525"/>
            <wp:docPr id="1" name="Рисунок 1" descr="Академічна доброчесність ННІ МСМ | ХНТУСГ | ХНТУСГ - Харківський  національний технічний університет сільського господарства імені Петра  Васи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емічна доброчесність ННІ МСМ | ХНТУСГ | ХНТУСГ - Харківський  національний технічний університет сільського господарства імені Петра  Васил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1182" w:rsidRPr="003B1182" w:rsidRDefault="003B1182" w:rsidP="003B1182">
      <w:pPr>
        <w:shd w:val="clear" w:color="auto" w:fill="FFFFFF"/>
        <w:spacing w:after="0" w:line="499" w:lineRule="atLeast"/>
        <w:outlineLvl w:val="0"/>
        <w:rPr>
          <w:rFonts w:ascii="Trebuchet MS" w:eastAsia="Times New Roman" w:hAnsi="Trebuchet MS" w:cs="Times New Roman"/>
          <w:i/>
          <w:iCs/>
          <w:color w:val="323232"/>
          <w:kern w:val="36"/>
          <w:sz w:val="38"/>
          <w:szCs w:val="38"/>
          <w:lang w:eastAsia="uk-UA"/>
        </w:rPr>
      </w:pPr>
      <w:r w:rsidRPr="003B1182">
        <w:rPr>
          <w:rFonts w:ascii="Trebuchet MS" w:eastAsia="Times New Roman" w:hAnsi="Trebuchet MS" w:cs="Times New Roman"/>
          <w:i/>
          <w:iCs/>
          <w:color w:val="323232"/>
          <w:kern w:val="36"/>
          <w:sz w:val="38"/>
          <w:szCs w:val="38"/>
          <w:lang w:eastAsia="uk-UA"/>
        </w:rPr>
        <w:t>Що таке академічна доброчесність?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Відповідно до </w:t>
      </w:r>
      <w:hyperlink r:id="rId6" w:tgtFrame="_blank" w:history="1">
        <w:r w:rsidRPr="003B1182">
          <w:rPr>
            <w:rFonts w:ascii="Trebuchet MS" w:eastAsia="Times New Roman" w:hAnsi="Trebuchet MS" w:cs="Times New Roman"/>
            <w:b/>
            <w:bCs/>
            <w:color w:val="0757E7"/>
            <w:sz w:val="24"/>
            <w:szCs w:val="24"/>
            <w:u w:val="single"/>
            <w:lang w:eastAsia="uk-UA"/>
          </w:rPr>
          <w:t>статті 42 Закону України «Про освіту»:</w:t>
        </w:r>
      </w:hyperlink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1. </w:t>
      </w: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Академічна доброчесність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2. </w:t>
      </w: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Дотримання академічної доброчесності педагогічними, науково-педагогічними та науковими працівниками передбачає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:</w:t>
      </w:r>
    </w:p>
    <w:p w:rsidR="003B1182" w:rsidRPr="003B1182" w:rsidRDefault="003B1182" w:rsidP="003B1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посилання на джерела інформації у разі використання ідей, розробок, тверджень, відомостей;</w:t>
      </w:r>
    </w:p>
    <w:p w:rsidR="003B1182" w:rsidRPr="003B1182" w:rsidRDefault="003B1182" w:rsidP="003B1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дотримання норм законодавства про авторське право і суміжні права;</w:t>
      </w:r>
    </w:p>
    <w:p w:rsidR="003B1182" w:rsidRPr="003B1182" w:rsidRDefault="003B1182" w:rsidP="003B1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</w:p>
    <w:p w:rsidR="003B1182" w:rsidRPr="003B1182" w:rsidRDefault="003B1182" w:rsidP="003B1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контроль за дотриманням академічної доброчесності здобувачами освіти;</w:t>
      </w:r>
    </w:p>
    <w:p w:rsidR="003B1182" w:rsidRPr="003B1182" w:rsidRDefault="003B1182" w:rsidP="003B1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об’єктивне оцінювання результатів навчання.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3. Дотримання академічної доброчесності здобувачами освіти передбачає:</w:t>
      </w:r>
    </w:p>
    <w:p w:rsidR="003B1182" w:rsidRPr="003B1182" w:rsidRDefault="003B1182" w:rsidP="003B1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3B1182" w:rsidRPr="003B1182" w:rsidRDefault="003B1182" w:rsidP="003B1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посилання на джерела інформації у разі використання ідей, розробок, тверджень, відомостей;</w:t>
      </w:r>
    </w:p>
    <w:p w:rsidR="003B1182" w:rsidRPr="003B1182" w:rsidRDefault="003B1182" w:rsidP="003B1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дотримання норм законодавства про авторське право і суміжні права;</w:t>
      </w:r>
    </w:p>
    <w:p w:rsidR="003B1182" w:rsidRPr="003B1182" w:rsidRDefault="003B1182" w:rsidP="003B1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lastRenderedPageBreak/>
        <w:t>4. Порушенням академічної доброчесності вважається: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академічний плагіат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proofErr w:type="spellStart"/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самоплагіат</w:t>
      </w:r>
      <w:proofErr w:type="spellEnd"/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оприлюднення (частково або повністю) власних раніше опублікованих наукових результатів як нових наукових результатів;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фабрикація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вигадування даних чи фактів, що використовуються в освітньому процесі або наукових дослідженнях;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фальсифікація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свідома зміна чи модифікація вже наявних даних, що стосуються освітнього процесу чи наукових досліджень;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списування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обман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 xml:space="preserve"> 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самоплагіат</w:t>
      </w:r>
      <w:proofErr w:type="spellEnd"/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, фабрикація, фальсифікація та списування;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хабарництво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необ’єктивне оцінювання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- свідоме завищення або заниження оцінки результатів навчання здобувачів освіти;</w:t>
      </w:r>
    </w:p>
    <w:p w:rsidR="003B1182" w:rsidRPr="003B1182" w:rsidRDefault="003B1182" w:rsidP="003B1182">
      <w:pPr>
        <w:shd w:val="clear" w:color="auto" w:fill="FFFFFF"/>
        <w:spacing w:after="120" w:line="240" w:lineRule="auto"/>
        <w:ind w:left="600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надання здобувачам освіти під час проходження ними оцінювання результатів навчання допомоги чи створення перешкод, не передбачених умовами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та/або процедурами проходження такого оцінювання;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br/>
        <w:t>вплив у будь-якій формі (прохання, умовляння, вказівка, погроза, примушування тощо) на педагогічного (науково-педагогічного) працівника з метою здійснення ним необ’єктивного оцінювання результатів навчання.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5. За порушення академічної доброчесності педагогічні, науково-педагогічні та наукові працівники закладів освіти можуть бути притягнені до такої академічної відповідальності:</w:t>
      </w:r>
    </w:p>
    <w:p w:rsidR="003B1182" w:rsidRPr="003B1182" w:rsidRDefault="003B1182" w:rsidP="003B1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відмова у присудженні наукового ступеня чи присвоєнні вченого звання;</w:t>
      </w:r>
    </w:p>
    <w:p w:rsidR="003B1182" w:rsidRPr="003B1182" w:rsidRDefault="003B1182" w:rsidP="003B1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позбавлення присудженого наукового (</w:t>
      </w:r>
      <w:proofErr w:type="spellStart"/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освітньо</w:t>
      </w:r>
      <w:proofErr w:type="spellEnd"/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-творчого) ступеня чи присвоєного вченого звання;</w:t>
      </w:r>
    </w:p>
    <w:p w:rsidR="003B1182" w:rsidRPr="003B1182" w:rsidRDefault="003B1182" w:rsidP="003B1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відмова в присвоєнні або позбавлення присвоєного педагогічного звання, кваліфікаційної категорії;</w:t>
      </w:r>
    </w:p>
    <w:p w:rsidR="003B1182" w:rsidRPr="003B1182" w:rsidRDefault="003B1182" w:rsidP="003B1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6. За порушення академічної доброчесності здобувачі освіти можуть бути притягнені до такої академічної відповідальності:</w:t>
      </w:r>
    </w:p>
    <w:p w:rsidR="003B1182" w:rsidRPr="003B1182" w:rsidRDefault="003B1182" w:rsidP="003B1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повторне проходження оцінювання (контрольна робота, іспит, залік тощо);</w:t>
      </w:r>
    </w:p>
    <w:p w:rsidR="003B1182" w:rsidRPr="003B1182" w:rsidRDefault="003B1182" w:rsidP="003B1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повторне проходження відповідного освітнього компонента освітньої програми;</w:t>
      </w:r>
    </w:p>
    <w:p w:rsidR="003B1182" w:rsidRPr="003B1182" w:rsidRDefault="003B1182" w:rsidP="003B1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відрахування із закладу освіти (крім осіб, які здобувають загальну середню освіту);</w:t>
      </w:r>
    </w:p>
    <w:p w:rsidR="003B1182" w:rsidRPr="003B1182" w:rsidRDefault="003B1182" w:rsidP="003B1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lastRenderedPageBreak/>
        <w:t>позбавлення академічної стипендії;</w:t>
      </w:r>
    </w:p>
    <w:p w:rsidR="003B1182" w:rsidRPr="003B1182" w:rsidRDefault="003B1182" w:rsidP="003B1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позбавлення наданих закладом освіти пільг з оплати навчання.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7. Види академічної відповідальності</w:t>
      </w:r>
      <w:r w:rsidRPr="003B1182">
        <w:rPr>
          <w:rFonts w:ascii="Trebuchet MS" w:eastAsia="Times New Roman" w:hAnsi="Trebuchet MS" w:cs="Times New Roman"/>
          <w:i/>
          <w:iCs/>
          <w:color w:val="323232"/>
          <w:sz w:val="24"/>
          <w:szCs w:val="24"/>
          <w:lang w:eastAsia="uk-UA"/>
        </w:rPr>
        <w:t> 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(у тому числі додаткові та/або деталізовані) учасників освітнього процесу за конкретні порушення академічної доброчесності визначаються спеціальними законами та/або внутрішніми положеннями закладу освіти, що мають бути затверджені (погоджені)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8. Порядок виявлення та встановлення фактів порушення академічної доброчесності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 визначається уповноваженим колегіальним органом управління закладу освіти з урахуванням вимог цього Закону та спеціальних законів.</w:t>
      </w: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br/>
      </w:r>
      <w:r w:rsidRPr="003B1182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uk-UA"/>
        </w:rPr>
        <w:t>Кожна особа, стосовно якої порушено питання про порушення нею академічної доброчесності, має такі права:</w:t>
      </w:r>
    </w:p>
    <w:p w:rsidR="003B1182" w:rsidRPr="003B1182" w:rsidRDefault="003B1182" w:rsidP="003B1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3B1182" w:rsidRPr="003B1182" w:rsidRDefault="003B1182" w:rsidP="003B1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3B1182" w:rsidRPr="003B1182" w:rsidRDefault="003B1182" w:rsidP="003B1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3B1182" w:rsidRPr="003B1182" w:rsidRDefault="003B1182" w:rsidP="003B1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9. Форми та види академічної відповідальності закладів освіти визначаються спеціальними законами.</w:t>
      </w:r>
    </w:p>
    <w:p w:rsidR="003B1182" w:rsidRPr="003B1182" w:rsidRDefault="003B1182" w:rsidP="003B118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23232"/>
          <w:sz w:val="24"/>
          <w:szCs w:val="24"/>
          <w:lang w:eastAsia="uk-UA"/>
        </w:rPr>
      </w:pPr>
      <w:r w:rsidRPr="003B1182">
        <w:rPr>
          <w:rFonts w:ascii="Trebuchet MS" w:eastAsia="Times New Roman" w:hAnsi="Trebuchet MS" w:cs="Times New Roman"/>
          <w:b/>
          <w:bCs/>
          <w:i/>
          <w:iCs/>
          <w:color w:val="323232"/>
          <w:sz w:val="24"/>
          <w:szCs w:val="24"/>
          <w:lang w:eastAsia="uk-UA"/>
        </w:rPr>
        <w:t>10. За дії (бездіяльність), що цим Законом визнані порушенням академічної доброчесності, особа може бути притягнута до інших видів відповідальності з підстав та в порядку, визначених законом.</w:t>
      </w:r>
    </w:p>
    <w:p w:rsidR="002175FB" w:rsidRDefault="002175FB"/>
    <w:sectPr w:rsidR="002175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AE5"/>
    <w:multiLevelType w:val="multilevel"/>
    <w:tmpl w:val="3ABC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43612"/>
    <w:multiLevelType w:val="multilevel"/>
    <w:tmpl w:val="356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0722D"/>
    <w:multiLevelType w:val="multilevel"/>
    <w:tmpl w:val="07C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93E08"/>
    <w:multiLevelType w:val="multilevel"/>
    <w:tmpl w:val="D496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4136A"/>
    <w:multiLevelType w:val="multilevel"/>
    <w:tmpl w:val="FC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DA"/>
    <w:rsid w:val="002175FB"/>
    <w:rsid w:val="003B1182"/>
    <w:rsid w:val="00DE79DA"/>
    <w:rsid w:val="00D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FE40-C945-49DE-B1AC-EC29ED1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1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B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B1182"/>
    <w:rPr>
      <w:b/>
      <w:bCs/>
    </w:rPr>
  </w:style>
  <w:style w:type="character" w:styleId="a5">
    <w:name w:val="Hyperlink"/>
    <w:basedOn w:val="a0"/>
    <w:uiPriority w:val="99"/>
    <w:semiHidden/>
    <w:unhideWhenUsed/>
    <w:rsid w:val="003B1182"/>
    <w:rPr>
      <w:color w:val="0000FF"/>
      <w:u w:val="single"/>
    </w:rPr>
  </w:style>
  <w:style w:type="character" w:styleId="a6">
    <w:name w:val="Emphasis"/>
    <w:basedOn w:val="a0"/>
    <w:uiPriority w:val="20"/>
    <w:qFormat/>
    <w:rsid w:val="003B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145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3922</Words>
  <Characters>2236</Characters>
  <Application>Microsoft Office Word</Application>
  <DocSecurity>0</DocSecurity>
  <Lines>18</Lines>
  <Paragraphs>12</Paragraphs>
  <ScaleCrop>false</ScaleCrop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5</cp:revision>
  <dcterms:created xsi:type="dcterms:W3CDTF">2022-05-07T14:07:00Z</dcterms:created>
  <dcterms:modified xsi:type="dcterms:W3CDTF">2022-05-07T14:10:00Z</dcterms:modified>
</cp:coreProperties>
</file>