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53" w:rsidRPr="00C23CCB" w:rsidRDefault="00EB31F9" w:rsidP="00C23CCB">
      <w:pPr>
        <w:pStyle w:val="1"/>
        <w:shd w:val="clear" w:color="auto" w:fill="FFFFFF"/>
        <w:spacing w:before="0" w:line="295" w:lineRule="atLeast"/>
        <w:jc w:val="center"/>
        <w:rPr>
          <w:rFonts w:ascii="Arial" w:hAnsi="Arial" w:cs="Arial"/>
          <w:color w:val="4472C4" w:themeColor="accent5"/>
          <w:sz w:val="52"/>
          <w:szCs w:val="52"/>
        </w:rPr>
      </w:pPr>
      <w:r w:rsidRPr="00C23CCB">
        <w:rPr>
          <w:rStyle w:val="a9"/>
          <w:rFonts w:ascii="Arial" w:hAnsi="Arial" w:cs="Arial"/>
          <w:b w:val="0"/>
          <w:bCs w:val="0"/>
          <w:color w:val="4472C4" w:themeColor="accent5"/>
          <w:sz w:val="52"/>
          <w:szCs w:val="52"/>
        </w:rPr>
        <w:t xml:space="preserve">До уваги батьків майбутніх першокласників 2022/2023 </w:t>
      </w:r>
      <w:proofErr w:type="spellStart"/>
      <w:r w:rsidRPr="00C23CCB">
        <w:rPr>
          <w:rStyle w:val="a9"/>
          <w:rFonts w:ascii="Arial" w:hAnsi="Arial" w:cs="Arial"/>
          <w:b w:val="0"/>
          <w:bCs w:val="0"/>
          <w:color w:val="4472C4" w:themeColor="accent5"/>
          <w:sz w:val="52"/>
          <w:szCs w:val="52"/>
        </w:rPr>
        <w:t>н.р</w:t>
      </w:r>
      <w:proofErr w:type="spellEnd"/>
      <w:r w:rsidRPr="00C23CCB">
        <w:rPr>
          <w:rStyle w:val="a9"/>
          <w:rFonts w:ascii="Arial" w:hAnsi="Arial" w:cs="Arial"/>
          <w:b w:val="0"/>
          <w:bCs w:val="0"/>
          <w:color w:val="4472C4" w:themeColor="accent5"/>
          <w:sz w:val="52"/>
          <w:szCs w:val="52"/>
        </w:rPr>
        <w:t>.!</w:t>
      </w:r>
    </w:p>
    <w:p w:rsidR="00C23CCB" w:rsidRDefault="00C23CCB" w:rsidP="00C23CCB">
      <w:pPr>
        <w:pStyle w:val="4"/>
        <w:shd w:val="clear" w:color="auto" w:fill="FFFFFF"/>
        <w:spacing w:before="0" w:line="295" w:lineRule="atLeast"/>
        <w:rPr>
          <w:rFonts w:ascii="Arial" w:hAnsi="Arial" w:cs="Arial"/>
          <w:color w:val="383838"/>
          <w:sz w:val="30"/>
          <w:szCs w:val="30"/>
        </w:rPr>
      </w:pPr>
      <w:r w:rsidRPr="00C23CCB">
        <w:rPr>
          <w:rStyle w:val="a9"/>
          <w:rFonts w:ascii="Arial" w:hAnsi="Arial" w:cs="Arial"/>
          <w:b w:val="0"/>
          <w:bCs w:val="0"/>
          <w:i w:val="0"/>
          <w:color w:val="383838"/>
          <w:sz w:val="30"/>
          <w:szCs w:val="30"/>
        </w:rPr>
        <w:t>Документи для зарахування</w:t>
      </w:r>
      <w:r>
        <w:rPr>
          <w:rStyle w:val="a9"/>
          <w:rFonts w:ascii="Arial" w:hAnsi="Arial" w:cs="Arial"/>
          <w:b w:val="0"/>
          <w:bCs w:val="0"/>
          <w:color w:val="383838"/>
          <w:sz w:val="30"/>
          <w:szCs w:val="30"/>
        </w:rPr>
        <w:t>:</w:t>
      </w:r>
    </w:p>
    <w:p w:rsidR="00C23CCB" w:rsidRDefault="00C23CCB" w:rsidP="00C23CCB">
      <w:pPr>
        <w:pStyle w:val="4"/>
        <w:shd w:val="clear" w:color="auto" w:fill="FFFFFF"/>
        <w:spacing w:before="0" w:line="295" w:lineRule="atLeast"/>
        <w:rPr>
          <w:rStyle w:val="a9"/>
          <w:rFonts w:ascii="Arial" w:hAnsi="Arial" w:cs="Arial"/>
          <w:b w:val="0"/>
          <w:bCs w:val="0"/>
          <w:color w:val="383838"/>
          <w:sz w:val="30"/>
          <w:szCs w:val="30"/>
        </w:rPr>
      </w:pPr>
      <w:r>
        <w:rPr>
          <w:rStyle w:val="a9"/>
          <w:rFonts w:ascii="Arial" w:hAnsi="Arial" w:cs="Arial"/>
          <w:b w:val="0"/>
          <w:bCs w:val="0"/>
          <w:color w:val="383838"/>
          <w:sz w:val="30"/>
          <w:szCs w:val="30"/>
        </w:rPr>
        <w:t>1. Заява.</w:t>
      </w:r>
      <w:r>
        <w:rPr>
          <w:rFonts w:ascii="Arial" w:hAnsi="Arial" w:cs="Arial"/>
          <w:color w:val="383838"/>
          <w:sz w:val="30"/>
          <w:szCs w:val="30"/>
        </w:rPr>
        <w:br/>
      </w:r>
      <w:r>
        <w:rPr>
          <w:rStyle w:val="a9"/>
          <w:rFonts w:ascii="Arial" w:hAnsi="Arial" w:cs="Arial"/>
          <w:b w:val="0"/>
          <w:bCs w:val="0"/>
          <w:color w:val="383838"/>
          <w:sz w:val="30"/>
          <w:szCs w:val="30"/>
        </w:rPr>
        <w:t>2. Копія свідоцтва про народження дитини.</w:t>
      </w:r>
      <w:r>
        <w:rPr>
          <w:rFonts w:ascii="Arial" w:hAnsi="Arial" w:cs="Arial"/>
          <w:color w:val="383838"/>
          <w:sz w:val="30"/>
          <w:szCs w:val="30"/>
        </w:rPr>
        <w:br/>
      </w:r>
      <w:r>
        <w:rPr>
          <w:rStyle w:val="a9"/>
          <w:rFonts w:ascii="Arial" w:hAnsi="Arial" w:cs="Arial"/>
          <w:b w:val="0"/>
          <w:bCs w:val="0"/>
          <w:color w:val="383838"/>
          <w:sz w:val="30"/>
          <w:szCs w:val="30"/>
        </w:rPr>
        <w:t xml:space="preserve">3. Оригінал медичної довідки за формою первинної облікової документації №086-1/о; №086-2/о «Довідка учня загальноосвітнього навчального закладу про результати </w:t>
      </w:r>
      <w:proofErr w:type="spellStart"/>
      <w:r>
        <w:rPr>
          <w:rStyle w:val="a9"/>
          <w:rFonts w:ascii="Arial" w:hAnsi="Arial" w:cs="Arial"/>
          <w:b w:val="0"/>
          <w:bCs w:val="0"/>
          <w:color w:val="383838"/>
          <w:sz w:val="30"/>
          <w:szCs w:val="30"/>
        </w:rPr>
        <w:t>обов</w:t>
      </w:r>
      <w:proofErr w:type="spellEnd"/>
      <w:r w:rsidRPr="00BD4BEA">
        <w:rPr>
          <w:rStyle w:val="a9"/>
          <w:rFonts w:ascii="Arial" w:hAnsi="Arial" w:cs="Arial"/>
          <w:b w:val="0"/>
          <w:bCs w:val="0"/>
          <w:color w:val="383838"/>
          <w:sz w:val="30"/>
          <w:szCs w:val="30"/>
          <w:lang w:val="ru-RU"/>
        </w:rPr>
        <w:t>’</w:t>
      </w:r>
      <w:proofErr w:type="spellStart"/>
      <w:r>
        <w:rPr>
          <w:rStyle w:val="a9"/>
          <w:rFonts w:ascii="Arial" w:hAnsi="Arial" w:cs="Arial"/>
          <w:b w:val="0"/>
          <w:bCs w:val="0"/>
          <w:color w:val="383838"/>
          <w:sz w:val="30"/>
          <w:szCs w:val="30"/>
        </w:rPr>
        <w:t>язкового</w:t>
      </w:r>
      <w:proofErr w:type="spellEnd"/>
      <w:r>
        <w:rPr>
          <w:rStyle w:val="a9"/>
          <w:rFonts w:ascii="Arial" w:hAnsi="Arial" w:cs="Arial"/>
          <w:b w:val="0"/>
          <w:bCs w:val="0"/>
          <w:color w:val="383838"/>
          <w:sz w:val="30"/>
          <w:szCs w:val="30"/>
        </w:rPr>
        <w:t xml:space="preserve"> медичного профілактичного огляду».</w:t>
      </w:r>
      <w:r>
        <w:rPr>
          <w:rFonts w:ascii="Arial" w:hAnsi="Arial" w:cs="Arial"/>
          <w:color w:val="383838"/>
          <w:sz w:val="30"/>
          <w:szCs w:val="30"/>
        </w:rPr>
        <w:br/>
      </w:r>
      <w:r>
        <w:rPr>
          <w:rStyle w:val="a9"/>
          <w:rFonts w:ascii="Arial" w:hAnsi="Arial" w:cs="Arial"/>
          <w:b w:val="0"/>
          <w:bCs w:val="0"/>
          <w:color w:val="383838"/>
          <w:sz w:val="30"/>
          <w:szCs w:val="30"/>
        </w:rPr>
        <w:t xml:space="preserve">4. Документ для підтвердження права на першочергове зарахування. </w:t>
      </w:r>
    </w:p>
    <w:p w:rsidR="00C23CCB" w:rsidRPr="00C23CCB" w:rsidRDefault="00C23CCB" w:rsidP="00C23CCB"/>
    <w:p w:rsidR="00DE729F" w:rsidRPr="00C269DF" w:rsidRDefault="008D2E65"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 xml:space="preserve">Згідно </w:t>
      </w:r>
      <w:r w:rsidR="00DE729F" w:rsidRPr="00C269DF">
        <w:rPr>
          <w:rFonts w:ascii="Times New Roman" w:eastAsia="Times New Roman" w:hAnsi="Times New Roman" w:cs="Times New Roman"/>
          <w:color w:val="000000" w:themeColor="text1"/>
          <w:sz w:val="24"/>
          <w:szCs w:val="24"/>
          <w:lang w:eastAsia="uk-UA"/>
        </w:rPr>
        <w:t>рішення виконавчого комітету</w:t>
      </w:r>
      <w:r w:rsidRPr="00C269DF">
        <w:rPr>
          <w:rFonts w:ascii="Times New Roman" w:eastAsia="Times New Roman" w:hAnsi="Times New Roman" w:cs="Times New Roman"/>
          <w:color w:val="000000" w:themeColor="text1"/>
          <w:sz w:val="24"/>
          <w:szCs w:val="24"/>
          <w:lang w:eastAsia="uk-UA"/>
        </w:rPr>
        <w:t xml:space="preserve"> ЛМР № </w:t>
      </w:r>
      <w:r w:rsidR="00DE729F" w:rsidRPr="00C269DF">
        <w:rPr>
          <w:rFonts w:ascii="Times New Roman" w:eastAsia="Times New Roman" w:hAnsi="Times New Roman" w:cs="Times New Roman"/>
          <w:color w:val="000000" w:themeColor="text1"/>
          <w:sz w:val="24"/>
          <w:szCs w:val="24"/>
          <w:lang w:eastAsia="uk-UA"/>
        </w:rPr>
        <w:t>132</w:t>
      </w:r>
      <w:r w:rsidRPr="00C269DF">
        <w:rPr>
          <w:rFonts w:ascii="Times New Roman" w:eastAsia="Times New Roman" w:hAnsi="Times New Roman" w:cs="Times New Roman"/>
          <w:color w:val="000000" w:themeColor="text1"/>
          <w:sz w:val="24"/>
          <w:szCs w:val="24"/>
          <w:lang w:eastAsia="uk-UA"/>
        </w:rPr>
        <w:t xml:space="preserve"> від </w:t>
      </w:r>
      <w:r w:rsidR="00DE729F" w:rsidRPr="00C269DF">
        <w:rPr>
          <w:rFonts w:ascii="Times New Roman" w:eastAsia="Times New Roman" w:hAnsi="Times New Roman" w:cs="Times New Roman"/>
          <w:color w:val="000000" w:themeColor="text1"/>
          <w:sz w:val="24"/>
          <w:szCs w:val="24"/>
          <w:lang w:eastAsia="uk-UA"/>
        </w:rPr>
        <w:t>05.03. 2021 року (зі змінами у 2022р.)</w:t>
      </w:r>
      <w:r w:rsidRPr="00C269DF">
        <w:rPr>
          <w:rFonts w:ascii="Times New Roman" w:eastAsia="Times New Roman" w:hAnsi="Times New Roman" w:cs="Times New Roman"/>
          <w:color w:val="000000" w:themeColor="text1"/>
          <w:sz w:val="24"/>
          <w:szCs w:val="24"/>
          <w:lang w:eastAsia="uk-UA"/>
        </w:rPr>
        <w:t xml:space="preserve">, територія обслуговування </w:t>
      </w:r>
      <w:r w:rsidR="00DE729F" w:rsidRPr="00C269DF">
        <w:rPr>
          <w:rFonts w:ascii="Times New Roman" w:eastAsia="Times New Roman" w:hAnsi="Times New Roman" w:cs="Times New Roman"/>
          <w:color w:val="000000" w:themeColor="text1"/>
          <w:sz w:val="24"/>
          <w:szCs w:val="24"/>
          <w:lang w:eastAsia="uk-UA"/>
        </w:rPr>
        <w:t xml:space="preserve">СЕРЕДНЬОЇ ЗАГАЛЬНООСВІТНЬОЇ ШКОЛИ №42 </w:t>
      </w:r>
      <w:proofErr w:type="spellStart"/>
      <w:r w:rsidR="00DE729F" w:rsidRPr="00C269DF">
        <w:rPr>
          <w:rFonts w:ascii="Times New Roman" w:eastAsia="Times New Roman" w:hAnsi="Times New Roman" w:cs="Times New Roman"/>
          <w:color w:val="000000" w:themeColor="text1"/>
          <w:sz w:val="24"/>
          <w:szCs w:val="24"/>
          <w:lang w:eastAsia="uk-UA"/>
        </w:rPr>
        <w:t>м.Львова</w:t>
      </w:r>
      <w:proofErr w:type="spellEnd"/>
      <w:r w:rsidR="00DE729F" w:rsidRPr="00C269DF">
        <w:rPr>
          <w:rFonts w:ascii="Times New Roman" w:eastAsia="Times New Roman" w:hAnsi="Times New Roman" w:cs="Times New Roman"/>
          <w:color w:val="000000" w:themeColor="text1"/>
          <w:sz w:val="24"/>
          <w:szCs w:val="24"/>
          <w:lang w:eastAsia="uk-UA"/>
        </w:rPr>
        <w:t xml:space="preserve">: </w:t>
      </w:r>
    </w:p>
    <w:p w:rsidR="008D2E65" w:rsidRPr="00C269DF" w:rsidRDefault="00DE729F"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Глухий Кут</w:t>
      </w:r>
      <w:r w:rsidR="008D2E65" w:rsidRPr="00C269DF">
        <w:rPr>
          <w:rFonts w:ascii="Times New Roman" w:eastAsia="Times New Roman" w:hAnsi="Times New Roman" w:cs="Times New Roman"/>
          <w:color w:val="000000" w:themeColor="text1"/>
          <w:sz w:val="24"/>
          <w:szCs w:val="24"/>
          <w:lang w:eastAsia="uk-UA"/>
        </w:rPr>
        <w:t xml:space="preserve"> </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proofErr w:type="spellStart"/>
      <w:r w:rsidRPr="00C269DF">
        <w:rPr>
          <w:rFonts w:ascii="Times New Roman" w:eastAsia="Times New Roman" w:hAnsi="Times New Roman" w:cs="Times New Roman"/>
          <w:color w:val="000000" w:themeColor="text1"/>
          <w:sz w:val="24"/>
          <w:szCs w:val="24"/>
          <w:lang w:eastAsia="uk-UA"/>
        </w:rPr>
        <w:t>вул</w:t>
      </w:r>
      <w:proofErr w:type="spellEnd"/>
      <w:r w:rsidRPr="00C269DF">
        <w:rPr>
          <w:rFonts w:ascii="Times New Roman" w:eastAsia="Times New Roman" w:hAnsi="Times New Roman" w:cs="Times New Roman"/>
          <w:color w:val="000000" w:themeColor="text1"/>
          <w:sz w:val="24"/>
          <w:szCs w:val="24"/>
          <w:lang w:eastAsia="uk-UA"/>
        </w:rPr>
        <w:t xml:space="preserve"> .Каштанова</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Китайська</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Кленова</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 xml:space="preserve">вул. </w:t>
      </w:r>
      <w:proofErr w:type="spellStart"/>
      <w:r w:rsidRPr="00C269DF">
        <w:rPr>
          <w:rFonts w:ascii="Times New Roman" w:eastAsia="Times New Roman" w:hAnsi="Times New Roman" w:cs="Times New Roman"/>
          <w:color w:val="000000" w:themeColor="text1"/>
          <w:sz w:val="24"/>
          <w:szCs w:val="24"/>
          <w:lang w:eastAsia="uk-UA"/>
        </w:rPr>
        <w:t>О.Кузьми</w:t>
      </w:r>
      <w:proofErr w:type="spellEnd"/>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 xml:space="preserve">вул. </w:t>
      </w:r>
      <w:proofErr w:type="spellStart"/>
      <w:r w:rsidRPr="00C269DF">
        <w:rPr>
          <w:rFonts w:ascii="Times New Roman" w:eastAsia="Times New Roman" w:hAnsi="Times New Roman" w:cs="Times New Roman"/>
          <w:color w:val="000000" w:themeColor="text1"/>
          <w:sz w:val="24"/>
          <w:szCs w:val="24"/>
          <w:lang w:eastAsia="uk-UA"/>
        </w:rPr>
        <w:t>Майорівка</w:t>
      </w:r>
      <w:proofErr w:type="spellEnd"/>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Медової Печери</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Латвійська</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Пасічна, 47-73 (непарні номери будинків)</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Пасічна, 44-84 (парні номери будинків)</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Садівнича</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 xml:space="preserve">вул. </w:t>
      </w:r>
      <w:proofErr w:type="spellStart"/>
      <w:r w:rsidRPr="00C269DF">
        <w:rPr>
          <w:rFonts w:ascii="Times New Roman" w:eastAsia="Times New Roman" w:hAnsi="Times New Roman" w:cs="Times New Roman"/>
          <w:color w:val="000000" w:themeColor="text1"/>
          <w:sz w:val="24"/>
          <w:szCs w:val="24"/>
          <w:lang w:eastAsia="uk-UA"/>
        </w:rPr>
        <w:t>Симиренків</w:t>
      </w:r>
      <w:proofErr w:type="spellEnd"/>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вул. Соколина</w:t>
      </w:r>
    </w:p>
    <w:p w:rsidR="0047504C" w:rsidRPr="00C269DF" w:rsidRDefault="0047504C" w:rsidP="008D2E65">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 xml:space="preserve">вул. </w:t>
      </w:r>
      <w:proofErr w:type="spellStart"/>
      <w:r w:rsidRPr="00C269DF">
        <w:rPr>
          <w:rFonts w:ascii="Times New Roman" w:eastAsia="Times New Roman" w:hAnsi="Times New Roman" w:cs="Times New Roman"/>
          <w:color w:val="000000" w:themeColor="text1"/>
          <w:sz w:val="24"/>
          <w:szCs w:val="24"/>
          <w:lang w:eastAsia="uk-UA"/>
        </w:rPr>
        <w:t>І.Стешенка</w:t>
      </w:r>
      <w:proofErr w:type="spellEnd"/>
      <w:r w:rsidRPr="00C269DF">
        <w:rPr>
          <w:rFonts w:ascii="Times New Roman" w:eastAsia="Times New Roman" w:hAnsi="Times New Roman" w:cs="Times New Roman"/>
          <w:color w:val="000000" w:themeColor="text1"/>
          <w:sz w:val="24"/>
          <w:szCs w:val="24"/>
          <w:lang w:eastAsia="uk-UA"/>
        </w:rPr>
        <w:t xml:space="preserve"> </w:t>
      </w:r>
    </w:p>
    <w:p w:rsidR="008D2E65" w:rsidRPr="00C269DF" w:rsidRDefault="00DE729F" w:rsidP="008D2E65">
      <w:pPr>
        <w:shd w:val="clear" w:color="auto" w:fill="FFFFFF"/>
        <w:spacing w:after="375" w:line="240" w:lineRule="auto"/>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К</w:t>
      </w:r>
      <w:r w:rsidR="008D2E65" w:rsidRPr="00C269DF">
        <w:rPr>
          <w:rFonts w:ascii="Times New Roman" w:eastAsia="Times New Roman" w:hAnsi="Times New Roman" w:cs="Times New Roman"/>
          <w:color w:val="000000" w:themeColor="text1"/>
          <w:sz w:val="24"/>
          <w:szCs w:val="24"/>
          <w:lang w:eastAsia="uk-UA"/>
        </w:rPr>
        <w:t>інцева дата подання документів єдина для всіх – 31 травня.</w:t>
      </w:r>
    </w:p>
    <w:p w:rsidR="008D2E65" w:rsidRPr="00C269DF" w:rsidRDefault="008D2E65" w:rsidP="00DE729F">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Якщо на 31 травня кількість поданих заяв перевищує кількість місць, то до 1 червня зараховуються діти:</w:t>
      </w:r>
    </w:p>
    <w:p w:rsidR="008D2E65" w:rsidRPr="00C269DF" w:rsidRDefault="008D2E65" w:rsidP="008D2E65">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місце проживання яких на території обслуговування школи підтверджене;</w:t>
      </w:r>
    </w:p>
    <w:p w:rsidR="008D2E65" w:rsidRPr="00C269DF" w:rsidRDefault="008D2E65" w:rsidP="008D2E65">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які є рідними (усиновленими) братами та/або сестрами учнів цього закладу освіти;</w:t>
      </w:r>
    </w:p>
    <w:p w:rsidR="008D2E65" w:rsidRPr="00C269DF" w:rsidRDefault="008D2E65" w:rsidP="008D2E65">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які є дітьми працівників цього закладу освіти.</w:t>
      </w:r>
    </w:p>
    <w:p w:rsidR="008D2E65" w:rsidRPr="00C269DF" w:rsidRDefault="008D2E65" w:rsidP="00DE729F">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До 15 червня зараховуються всі інші діти за результатами жеребкування. Воно проводиться з 5 до 10 червня та є публічним.</w:t>
      </w:r>
    </w:p>
    <w:p w:rsidR="008D2E65" w:rsidRPr="00C269DF" w:rsidRDefault="008D2E65" w:rsidP="00DE729F">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З 1 до 15 червня заяви про зарахування не приймаються. Але після 15 червня є можливість подати заяви на вільні місця.</w:t>
      </w:r>
    </w:p>
    <w:p w:rsidR="003A3F5B" w:rsidRPr="00C269DF" w:rsidRDefault="008D2E65" w:rsidP="003A3F5B">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Для зарахування учня до навчального закладу батьки або особи, які їх заміню</w:t>
      </w:r>
      <w:r w:rsidR="003A3F5B" w:rsidRPr="00C269DF">
        <w:rPr>
          <w:rFonts w:ascii="Times New Roman" w:eastAsia="Times New Roman" w:hAnsi="Times New Roman" w:cs="Times New Roman"/>
          <w:color w:val="000000" w:themeColor="text1"/>
          <w:sz w:val="24"/>
          <w:szCs w:val="24"/>
          <w:lang w:eastAsia="uk-UA"/>
        </w:rPr>
        <w:t>ють, подають наступні документи:</w:t>
      </w:r>
    </w:p>
    <w:p w:rsidR="008D2E65" w:rsidRPr="00C269DF" w:rsidRDefault="008D2E65" w:rsidP="008D2E65">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заяву на ім’я директора школи;</w:t>
      </w:r>
    </w:p>
    <w:p w:rsidR="008D2E65" w:rsidRPr="00C269DF" w:rsidRDefault="008D2E65" w:rsidP="008D2E65">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lastRenderedPageBreak/>
        <w:t>копію свідоцтва про народження дитини</w:t>
      </w:r>
      <w:r w:rsidR="003A3F5B" w:rsidRPr="00C269DF">
        <w:rPr>
          <w:rFonts w:ascii="Times New Roman" w:eastAsia="Times New Roman" w:hAnsi="Times New Roman" w:cs="Times New Roman"/>
          <w:color w:val="000000" w:themeColor="text1"/>
          <w:sz w:val="24"/>
          <w:szCs w:val="24"/>
          <w:lang w:eastAsia="uk-UA"/>
        </w:rPr>
        <w:t xml:space="preserve"> ( під час подання копії надається оригінал документу)</w:t>
      </w:r>
      <w:r w:rsidRPr="00C269DF">
        <w:rPr>
          <w:rFonts w:ascii="Times New Roman" w:eastAsia="Times New Roman" w:hAnsi="Times New Roman" w:cs="Times New Roman"/>
          <w:color w:val="000000" w:themeColor="text1"/>
          <w:sz w:val="24"/>
          <w:szCs w:val="24"/>
          <w:lang w:eastAsia="uk-UA"/>
        </w:rPr>
        <w:t>;</w:t>
      </w:r>
    </w:p>
    <w:p w:rsidR="003A3F5B" w:rsidRPr="00C269DF" w:rsidRDefault="003A3F5B" w:rsidP="003A3F5B">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hAnsi="Times New Roman" w:cs="Times New Roman"/>
          <w:color w:val="000000" w:themeColor="text1"/>
        </w:rPr>
        <w:t>Оригінал або копія медичної довідки за формою первинної облікової</w:t>
      </w:r>
      <w:r w:rsidRPr="00C269DF">
        <w:rPr>
          <w:rFonts w:ascii="Times New Roman" w:hAnsi="Times New Roman" w:cs="Times New Roman"/>
          <w:color w:val="000000" w:themeColor="text1"/>
        </w:rPr>
        <w:br/>
        <w:t>документації № 086-1/о «Довідка учня загальноосвітнього навчального закладу</w:t>
      </w:r>
      <w:r w:rsidRPr="00C269DF">
        <w:rPr>
          <w:rFonts w:ascii="Times New Roman" w:hAnsi="Times New Roman" w:cs="Times New Roman"/>
          <w:color w:val="000000" w:themeColor="text1"/>
        </w:rPr>
        <w:br/>
        <w:t>про результати обов’язкового медичного профілактичного огляду», який затвердженою</w:t>
      </w:r>
      <w:r w:rsidRPr="00C269DF">
        <w:rPr>
          <w:rFonts w:ascii="Times New Roman" w:hAnsi="Times New Roman" w:cs="Times New Roman"/>
          <w:color w:val="000000" w:themeColor="text1"/>
        </w:rPr>
        <w:br/>
        <w:t>наказом Міністерства охорони здоров’я України від 16 серпня 2010 року № 682,</w:t>
      </w:r>
      <w:r w:rsidRPr="00C269DF">
        <w:rPr>
          <w:rFonts w:ascii="Times New Roman" w:hAnsi="Times New Roman" w:cs="Times New Roman"/>
          <w:color w:val="000000" w:themeColor="text1"/>
        </w:rPr>
        <w:br/>
        <w:t>зареєстрованим в Міністерстві юстиції України 10 вересня 2010 року за</w:t>
      </w:r>
      <w:r w:rsidRPr="00C269DF">
        <w:rPr>
          <w:rFonts w:ascii="Times New Roman" w:hAnsi="Times New Roman" w:cs="Times New Roman"/>
          <w:color w:val="000000" w:themeColor="text1"/>
        </w:rPr>
        <w:br/>
        <w:t>№ 794/18089.</w:t>
      </w:r>
    </w:p>
    <w:p w:rsidR="003A3F5B" w:rsidRPr="00C269DF" w:rsidRDefault="003A3F5B" w:rsidP="003A3F5B">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color w:val="000000" w:themeColor="text1"/>
          <w:sz w:val="24"/>
          <w:szCs w:val="24"/>
          <w:lang w:eastAsia="uk-UA"/>
        </w:rPr>
      </w:pPr>
      <w:r w:rsidRPr="00C269DF">
        <w:rPr>
          <w:rFonts w:ascii="Times New Roman" w:hAnsi="Times New Roman" w:cs="Times New Roman"/>
          <w:color w:val="000000" w:themeColor="text1"/>
          <w:shd w:val="clear" w:color="auto" w:fill="FFFFFF"/>
        </w:rPr>
        <w:t>Інші документи передбачені для зарахування. Деталі див у </w:t>
      </w:r>
      <w:hyperlink r:id="rId5" w:history="1">
        <w:r w:rsidRPr="00C269DF">
          <w:rPr>
            <w:rStyle w:val="a4"/>
            <w:rFonts w:ascii="Times New Roman" w:hAnsi="Times New Roman" w:cs="Times New Roman"/>
            <w:color w:val="000000" w:themeColor="text1"/>
            <w:shd w:val="clear" w:color="auto" w:fill="FFFFFF"/>
          </w:rPr>
          <w:t>листі МОН</w:t>
        </w:r>
      </w:hyperlink>
    </w:p>
    <w:p w:rsidR="008D2E65" w:rsidRPr="00C269DF" w:rsidRDefault="008D2E65" w:rsidP="00DE729F">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До першого класу зараховуються діти з шести років, які за результатами медичного обстеження не мають протипоказань для систематичного шкільного навчання.</w:t>
      </w:r>
    </w:p>
    <w:p w:rsidR="00D20F92" w:rsidRPr="00C269DF" w:rsidRDefault="008D2E65"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r w:rsidRPr="00C269DF">
        <w:rPr>
          <w:rFonts w:ascii="Times New Roman" w:eastAsia="Times New Roman" w:hAnsi="Times New Roman" w:cs="Times New Roman"/>
          <w:color w:val="000000" w:themeColor="text1"/>
          <w:sz w:val="24"/>
          <w:szCs w:val="24"/>
          <w:lang w:eastAsia="uk-UA"/>
        </w:rPr>
        <w:t>Обстеження фахівцями й оцінку функціональної готовності дитини до школи проводять перед вступом до школи.</w:t>
      </w:r>
    </w:p>
    <w:p w:rsidR="00CD59D3" w:rsidRPr="003A2011" w:rsidRDefault="00CD59D3" w:rsidP="003A2011">
      <w:pPr>
        <w:shd w:val="clear" w:color="auto" w:fill="FFFFFF"/>
        <w:spacing w:before="225" w:after="225" w:line="240" w:lineRule="auto"/>
        <w:ind w:firstLine="300"/>
        <w:rPr>
          <w:rFonts w:ascii="Times New Roman" w:eastAsia="Times New Roman" w:hAnsi="Times New Roman" w:cs="Times New Roman"/>
          <w:color w:val="000000" w:themeColor="text1"/>
          <w:sz w:val="24"/>
          <w:szCs w:val="24"/>
          <w:lang w:eastAsia="uk-UA"/>
        </w:rPr>
      </w:pPr>
      <w:r w:rsidRPr="003A2011">
        <w:rPr>
          <w:rFonts w:ascii="Times New Roman" w:eastAsia="Times New Roman" w:hAnsi="Times New Roman" w:cs="Times New Roman"/>
          <w:color w:val="000000" w:themeColor="text1"/>
          <w:sz w:val="24"/>
          <w:szCs w:val="24"/>
          <w:lang w:eastAsia="uk-UA"/>
        </w:rPr>
        <w:t>Для організації інклюзивного освітнього простору для дітей  із особливими освітніми потребами до заяви додається висновок про комплексну психолого-педагогічну оцінку розвитку дитини (висновок ІРЦ).</w:t>
      </w:r>
    </w:p>
    <w:p w:rsidR="00CD59D3" w:rsidRPr="003A2011" w:rsidRDefault="00CD59D3" w:rsidP="003A2011">
      <w:pPr>
        <w:shd w:val="clear" w:color="auto" w:fill="FFFFFF"/>
        <w:spacing w:before="225" w:after="225" w:line="240" w:lineRule="auto"/>
        <w:ind w:firstLine="300"/>
        <w:rPr>
          <w:rFonts w:ascii="Times New Roman" w:eastAsia="Times New Roman" w:hAnsi="Times New Roman" w:cs="Times New Roman"/>
          <w:color w:val="000000" w:themeColor="text1"/>
          <w:sz w:val="24"/>
          <w:szCs w:val="24"/>
          <w:lang w:eastAsia="uk-UA"/>
        </w:rPr>
      </w:pPr>
      <w:r w:rsidRPr="003A2011">
        <w:rPr>
          <w:rFonts w:ascii="Times New Roman" w:eastAsia="Times New Roman" w:hAnsi="Times New Roman" w:cs="Times New Roman"/>
          <w:color w:val="000000" w:themeColor="text1"/>
          <w:sz w:val="24"/>
          <w:szCs w:val="24"/>
          <w:lang w:eastAsia="uk-UA"/>
        </w:rPr>
        <w:t>У випадку подання копій документів оригінали мають бути подані до видання наказу про зарахування тобто до 29 травня.</w:t>
      </w:r>
    </w:p>
    <w:p w:rsidR="00CD59D3" w:rsidRPr="003A2011" w:rsidRDefault="00CD59D3" w:rsidP="003A2011">
      <w:pPr>
        <w:shd w:val="clear" w:color="auto" w:fill="FFFFFF"/>
        <w:spacing w:before="225" w:after="225" w:line="240" w:lineRule="auto"/>
        <w:ind w:firstLine="300"/>
        <w:rPr>
          <w:rFonts w:ascii="Times New Roman" w:eastAsia="Times New Roman" w:hAnsi="Times New Roman" w:cs="Times New Roman"/>
          <w:color w:val="000000" w:themeColor="text1"/>
          <w:sz w:val="24"/>
          <w:szCs w:val="24"/>
          <w:lang w:eastAsia="uk-UA"/>
        </w:rPr>
      </w:pPr>
      <w:r w:rsidRPr="003A2011">
        <w:rPr>
          <w:rFonts w:ascii="Times New Roman" w:eastAsia="Times New Roman" w:hAnsi="Times New Roman" w:cs="Times New Roman"/>
          <w:color w:val="000000" w:themeColor="text1"/>
          <w:sz w:val="24"/>
          <w:szCs w:val="24"/>
          <w:lang w:eastAsia="uk-UA"/>
        </w:rPr>
        <w:t>При поданні заяви має бути пред'явлено документ, що підтверджує місце проживання дитини чи одного з її батьків на території обслуговування закладу.</w:t>
      </w:r>
    </w:p>
    <w:p w:rsidR="00CD59D3" w:rsidRPr="00D8769F" w:rsidRDefault="00CD59D3" w:rsidP="00D8769F">
      <w:pPr>
        <w:shd w:val="clear" w:color="auto" w:fill="FFFFFF"/>
        <w:spacing w:after="375" w:line="240" w:lineRule="auto"/>
        <w:ind w:firstLine="300"/>
        <w:rPr>
          <w:rFonts w:ascii="Times New Roman" w:hAnsi="Times New Roman" w:cs="Times New Roman"/>
          <w:color w:val="000000" w:themeColor="text1"/>
          <w:sz w:val="24"/>
          <w:szCs w:val="24"/>
          <w:shd w:val="clear" w:color="auto" w:fill="FFFFFF"/>
        </w:rPr>
      </w:pPr>
      <w:r w:rsidRPr="003A2011">
        <w:rPr>
          <w:rFonts w:ascii="Times New Roman" w:hAnsi="Times New Roman" w:cs="Times New Roman"/>
          <w:color w:val="000000" w:themeColor="text1"/>
          <w:sz w:val="24"/>
          <w:szCs w:val="24"/>
          <w:shd w:val="clear" w:color="auto" w:fill="FFFFFF"/>
        </w:rPr>
        <w:t xml:space="preserve">Заява не </w:t>
      </w:r>
      <w:proofErr w:type="spellStart"/>
      <w:r w:rsidRPr="003A2011">
        <w:rPr>
          <w:rFonts w:ascii="Times New Roman" w:hAnsi="Times New Roman" w:cs="Times New Roman"/>
          <w:color w:val="000000" w:themeColor="text1"/>
          <w:sz w:val="24"/>
          <w:szCs w:val="24"/>
          <w:shd w:val="clear" w:color="auto" w:fill="FFFFFF"/>
        </w:rPr>
        <w:t>прийматиметься</w:t>
      </w:r>
      <w:proofErr w:type="spellEnd"/>
      <w:r w:rsidRPr="003A2011">
        <w:rPr>
          <w:rFonts w:ascii="Times New Roman" w:hAnsi="Times New Roman" w:cs="Times New Roman"/>
          <w:color w:val="000000" w:themeColor="text1"/>
          <w:sz w:val="24"/>
          <w:szCs w:val="24"/>
          <w:shd w:val="clear" w:color="auto" w:fill="FFFFFF"/>
        </w:rPr>
        <w:t xml:space="preserve"> і не реєструватиметься у разі відсутності хоча б одного з вказаних обов'язкових документів.</w:t>
      </w:r>
    </w:p>
    <w:p w:rsidR="00CD59D3" w:rsidRPr="003A2011" w:rsidRDefault="00CD59D3" w:rsidP="00C269DF">
      <w:pPr>
        <w:shd w:val="clear" w:color="auto" w:fill="FFFFFF"/>
        <w:spacing w:before="225" w:after="225" w:line="240" w:lineRule="auto"/>
        <w:ind w:firstLine="225"/>
        <w:rPr>
          <w:rFonts w:ascii="Times New Roman" w:eastAsia="Times New Roman" w:hAnsi="Times New Roman" w:cs="Times New Roman"/>
          <w:color w:val="000000" w:themeColor="text1"/>
          <w:sz w:val="24"/>
          <w:szCs w:val="24"/>
          <w:lang w:eastAsia="uk-UA"/>
        </w:rPr>
      </w:pPr>
      <w:r w:rsidRPr="003A2011">
        <w:rPr>
          <w:rFonts w:ascii="Times New Roman" w:eastAsia="Times New Roman" w:hAnsi="Times New Roman" w:cs="Times New Roman"/>
          <w:color w:val="000000" w:themeColor="text1"/>
          <w:sz w:val="24"/>
          <w:szCs w:val="24"/>
          <w:lang w:eastAsia="uk-UA"/>
        </w:rPr>
        <w:t>Набирають 1-ші класи у 202</w:t>
      </w:r>
      <w:r w:rsidR="00C269DF" w:rsidRPr="003A2011">
        <w:rPr>
          <w:rFonts w:ascii="Times New Roman" w:eastAsia="Times New Roman" w:hAnsi="Times New Roman" w:cs="Times New Roman"/>
          <w:color w:val="000000" w:themeColor="text1"/>
          <w:sz w:val="24"/>
          <w:szCs w:val="24"/>
          <w:lang w:eastAsia="uk-UA"/>
        </w:rPr>
        <w:t>1</w:t>
      </w:r>
      <w:r w:rsidRPr="003A2011">
        <w:rPr>
          <w:rFonts w:ascii="Times New Roman" w:eastAsia="Times New Roman" w:hAnsi="Times New Roman" w:cs="Times New Roman"/>
          <w:color w:val="000000" w:themeColor="text1"/>
          <w:sz w:val="24"/>
          <w:szCs w:val="24"/>
          <w:lang w:eastAsia="uk-UA"/>
        </w:rPr>
        <w:t>-202</w:t>
      </w:r>
      <w:r w:rsidR="00C269DF" w:rsidRPr="003A2011">
        <w:rPr>
          <w:rFonts w:ascii="Times New Roman" w:eastAsia="Times New Roman" w:hAnsi="Times New Roman" w:cs="Times New Roman"/>
          <w:color w:val="000000" w:themeColor="text1"/>
          <w:sz w:val="24"/>
          <w:szCs w:val="24"/>
          <w:lang w:eastAsia="uk-UA"/>
        </w:rPr>
        <w:t>2</w:t>
      </w:r>
      <w:r w:rsidRPr="003A2011">
        <w:rPr>
          <w:rFonts w:ascii="Times New Roman" w:eastAsia="Times New Roman" w:hAnsi="Times New Roman" w:cs="Times New Roman"/>
          <w:color w:val="000000" w:themeColor="text1"/>
          <w:sz w:val="24"/>
          <w:szCs w:val="24"/>
          <w:lang w:eastAsia="uk-UA"/>
        </w:rPr>
        <w:t xml:space="preserve"> н. р. вчителі, які в своїй роботі використовують сучасні освітні технології інформаційно-комунікативного навчання та ефективні форми і методи ведення уроків.</w:t>
      </w:r>
    </w:p>
    <w:p w:rsidR="00CD59D3" w:rsidRPr="003A2011" w:rsidRDefault="00CD59D3" w:rsidP="00C269DF">
      <w:pPr>
        <w:shd w:val="clear" w:color="auto" w:fill="FFFFFF"/>
        <w:spacing w:before="225" w:after="225" w:line="240" w:lineRule="auto"/>
        <w:ind w:firstLine="225"/>
        <w:rPr>
          <w:rFonts w:ascii="Times New Roman" w:eastAsia="Times New Roman" w:hAnsi="Times New Roman" w:cs="Times New Roman"/>
          <w:color w:val="000000" w:themeColor="text1"/>
          <w:sz w:val="24"/>
          <w:szCs w:val="24"/>
          <w:lang w:eastAsia="uk-UA"/>
        </w:rPr>
      </w:pPr>
      <w:r w:rsidRPr="003A2011">
        <w:rPr>
          <w:rFonts w:ascii="Times New Roman" w:eastAsia="Times New Roman" w:hAnsi="Times New Roman" w:cs="Times New Roman"/>
          <w:color w:val="000000" w:themeColor="text1"/>
          <w:sz w:val="24"/>
          <w:szCs w:val="24"/>
          <w:lang w:eastAsia="uk-UA"/>
        </w:rPr>
        <w:t>Педагоги розвивають у дітей основні компетентності творчі здібності, підтримують їхні обдарування, формують навички самоосвіти особистості, виховують загальнолюдські моральні якості, патріотизм, національні почуття, повагу до народних традицій.</w:t>
      </w:r>
    </w:p>
    <w:p w:rsidR="00CD59D3" w:rsidRDefault="00CD59D3"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4B75B0" w:rsidRDefault="004B75B0"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4B75B0" w:rsidRDefault="004B75B0"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4B75B0" w:rsidRDefault="004B75B0"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4B75B0" w:rsidRDefault="004B75B0"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bookmarkStart w:id="0" w:name="_GoBack"/>
      <w:bookmarkEnd w:id="0"/>
    </w:p>
    <w:p w:rsidR="00F957A2" w:rsidRPr="004B75B0" w:rsidRDefault="007C353F" w:rsidP="004B75B0">
      <w:pPr>
        <w:pStyle w:val="a6"/>
        <w:rPr>
          <w:color w:val="4472C4" w:themeColor="accent5"/>
        </w:rPr>
      </w:pPr>
      <w:r w:rsidRPr="004B75B0">
        <w:rPr>
          <w:color w:val="4472C4" w:themeColor="accent5"/>
        </w:rPr>
        <w:lastRenderedPageBreak/>
        <w:t>НАБІР ДО 1-ГО КЛАСУ ВІДБУВАЄТЬСЯ ЗГІДНО</w:t>
      </w:r>
      <w:r w:rsidR="00BD4BEA" w:rsidRPr="004B75B0">
        <w:rPr>
          <w:color w:val="4472C4" w:themeColor="accent5"/>
        </w:rPr>
        <w:t xml:space="preserve"> ДО</w:t>
      </w:r>
      <w:r w:rsidRPr="004B75B0">
        <w:t> </w:t>
      </w:r>
      <w:hyperlink r:id="rId6" w:tgtFrame="_blank" w:tooltip=" (у новому вікні)" w:history="1">
        <w:r w:rsidRPr="004B75B0">
          <w:rPr>
            <w:rStyle w:val="a4"/>
            <w:rFonts w:ascii="Times New Roman" w:hAnsi="Times New Roman" w:cs="Times New Roman"/>
            <w:b/>
            <w:bCs/>
            <w:color w:val="383838"/>
            <w:sz w:val="24"/>
            <w:szCs w:val="24"/>
          </w:rPr>
          <w:t>НАКАЗУ МІНІСТЕРСТВА ОСВІТИ І НАУКИ УКРАЇНИ № 367</w:t>
        </w:r>
      </w:hyperlink>
      <w:r w:rsidRPr="004B75B0">
        <w:rPr>
          <w:color w:val="51BAD5"/>
        </w:rPr>
        <w:t> </w:t>
      </w:r>
      <w:r w:rsidRPr="004B75B0">
        <w:rPr>
          <w:color w:val="4472C4" w:themeColor="accent5"/>
        </w:rPr>
        <w:t xml:space="preserve">від 16 квітня 2018 р. та листа-роз'яснення щодо застосування окремих положень нового Порядку зарахування </w:t>
      </w:r>
    </w:p>
    <w:p w:rsidR="007C353F" w:rsidRPr="004B75B0" w:rsidRDefault="007C353F" w:rsidP="004B75B0">
      <w:pPr>
        <w:pStyle w:val="1"/>
        <w:shd w:val="clear" w:color="auto" w:fill="FFFFFF"/>
        <w:spacing w:before="0" w:after="520" w:line="295" w:lineRule="atLeast"/>
        <w:jc w:val="center"/>
        <w:rPr>
          <w:rFonts w:ascii="Times New Roman" w:hAnsi="Times New Roman" w:cs="Times New Roman"/>
          <w:b/>
          <w:bCs/>
          <w:i/>
          <w:color w:val="C45911" w:themeColor="accent2" w:themeShade="BF"/>
          <w:sz w:val="28"/>
          <w:szCs w:val="28"/>
        </w:rPr>
      </w:pPr>
      <w:r w:rsidRPr="004B75B0">
        <w:rPr>
          <w:rFonts w:ascii="Arial" w:hAnsi="Arial" w:cs="Arial"/>
          <w:i/>
          <w:color w:val="C45911" w:themeColor="accent2" w:themeShade="BF"/>
          <w:sz w:val="24"/>
          <w:szCs w:val="24"/>
        </w:rPr>
        <w:t>Підтвердження місця проживання дитини чи одного з її батьків</w:t>
      </w:r>
      <w:r w:rsidRPr="004B75B0">
        <w:rPr>
          <w:rFonts w:ascii="Arial" w:hAnsi="Arial" w:cs="Arial"/>
          <w:i/>
          <w:color w:val="C45911" w:themeColor="accent2" w:themeShade="BF"/>
          <w:sz w:val="24"/>
          <w:szCs w:val="24"/>
        </w:rPr>
        <w:br/>
        <w:t>(витяг із </w:t>
      </w:r>
      <w:hyperlink r:id="rId7" w:tgtFrame="_blank" w:tooltip=" (у новому вікні)" w:history="1">
        <w:r w:rsidRPr="004B75B0">
          <w:rPr>
            <w:rStyle w:val="a4"/>
            <w:rFonts w:ascii="Arial" w:hAnsi="Arial" w:cs="Arial"/>
            <w:i/>
            <w:color w:val="C45911" w:themeColor="accent2" w:themeShade="BF"/>
            <w:sz w:val="24"/>
            <w:szCs w:val="24"/>
          </w:rPr>
          <w:t>Листа-роз'яснення</w:t>
        </w:r>
      </w:hyperlink>
      <w:r w:rsidRPr="004B75B0">
        <w:rPr>
          <w:rFonts w:ascii="Arial" w:hAnsi="Arial" w:cs="Arial"/>
          <w:i/>
          <w:color w:val="C45911" w:themeColor="accent2" w:themeShade="BF"/>
          <w:sz w:val="24"/>
          <w:szCs w:val="24"/>
        </w:rPr>
        <w:t> окремих положень нового Порядку зарахування)</w:t>
      </w:r>
    </w:p>
    <w:p w:rsidR="007C353F" w:rsidRDefault="007C353F" w:rsidP="00C23CCB">
      <w:pPr>
        <w:pStyle w:val="a3"/>
        <w:shd w:val="clear" w:color="auto" w:fill="FFFFFF"/>
        <w:spacing w:before="0" w:beforeAutospacing="0" w:after="295" w:afterAutospacing="0"/>
        <w:ind w:firstLine="708"/>
        <w:rPr>
          <w:rFonts w:ascii="Arial" w:hAnsi="Arial" w:cs="Arial"/>
          <w:color w:val="212121"/>
          <w:sz w:val="20"/>
          <w:szCs w:val="20"/>
        </w:rPr>
      </w:pPr>
      <w:r>
        <w:rPr>
          <w:rFonts w:ascii="Arial" w:hAnsi="Arial" w:cs="Arial"/>
          <w:color w:val="212121"/>
          <w:sz w:val="20"/>
          <w:szCs w:val="20"/>
        </w:rPr>
        <w:t>Міністерство освіти і науки України рекомендує батькам дітей і директорам шкіл орієнтуватися на перелік документів, що відповідно до чинного законодавства підтверджують чи потенційно можуть підтверджувати місце проживання дитини чи одного з її батьків, зокрема:</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1. </w:t>
      </w:r>
      <w:r w:rsidR="00C23CCB">
        <w:rPr>
          <w:rFonts w:ascii="Arial" w:hAnsi="Arial" w:cs="Arial"/>
          <w:color w:val="212121"/>
          <w:sz w:val="20"/>
          <w:szCs w:val="20"/>
        </w:rPr>
        <w:t>П</w:t>
      </w:r>
      <w:r>
        <w:rPr>
          <w:rFonts w:ascii="Arial" w:hAnsi="Arial" w:cs="Arial"/>
          <w:color w:val="212121"/>
          <w:sz w:val="20"/>
          <w:szCs w:val="20"/>
        </w:rPr>
        <w:t>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2. </w:t>
      </w:r>
      <w:r w:rsidR="00C23CCB">
        <w:rPr>
          <w:rFonts w:ascii="Arial" w:hAnsi="Arial" w:cs="Arial"/>
          <w:color w:val="212121"/>
          <w:sz w:val="20"/>
          <w:szCs w:val="20"/>
        </w:rPr>
        <w:t>Д</w:t>
      </w:r>
      <w:r>
        <w:rPr>
          <w:rFonts w:ascii="Arial" w:hAnsi="Arial" w:cs="Arial"/>
          <w:color w:val="212121"/>
          <w:sz w:val="20"/>
          <w:szCs w:val="20"/>
        </w:rPr>
        <w:t>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3. </w:t>
      </w:r>
      <w:r w:rsidR="00C23CCB">
        <w:rPr>
          <w:rFonts w:ascii="Arial" w:hAnsi="Arial" w:cs="Arial"/>
          <w:color w:val="212121"/>
          <w:sz w:val="20"/>
          <w:szCs w:val="20"/>
        </w:rPr>
        <w:t>В</w:t>
      </w:r>
      <w:r>
        <w:rPr>
          <w:rFonts w:ascii="Arial" w:hAnsi="Arial" w:cs="Arial"/>
          <w:color w:val="212121"/>
          <w:sz w:val="20"/>
          <w:szCs w:val="20"/>
        </w:rPr>
        <w:t>итяг з Єдиного державного демографічного реєстру щодо реєстрації місця проживання/перебування особи (дитини або одного з її батьків);</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4. </w:t>
      </w:r>
      <w:r w:rsidR="00C23CCB">
        <w:rPr>
          <w:rFonts w:ascii="Arial" w:hAnsi="Arial" w:cs="Arial"/>
          <w:color w:val="212121"/>
          <w:sz w:val="20"/>
          <w:szCs w:val="20"/>
        </w:rPr>
        <w:t>Д</w:t>
      </w:r>
      <w:r>
        <w:rPr>
          <w:rFonts w:ascii="Arial" w:hAnsi="Arial" w:cs="Arial"/>
          <w:color w:val="212121"/>
          <w:sz w:val="20"/>
          <w:szCs w:val="20"/>
        </w:rPr>
        <w:t>овідка про взяття на облік внутрішньо переміщеної особи;</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5</w:t>
      </w:r>
      <w:r w:rsidR="00C23CCB">
        <w:rPr>
          <w:rFonts w:ascii="Arial" w:hAnsi="Arial" w:cs="Arial"/>
          <w:color w:val="212121"/>
          <w:sz w:val="20"/>
          <w:szCs w:val="20"/>
        </w:rPr>
        <w:t xml:space="preserve"> </w:t>
      </w:r>
      <w:r>
        <w:rPr>
          <w:rFonts w:ascii="Arial" w:hAnsi="Arial" w:cs="Arial"/>
          <w:color w:val="212121"/>
          <w:sz w:val="20"/>
          <w:szCs w:val="20"/>
        </w:rPr>
        <w:t>.</w:t>
      </w:r>
      <w:r w:rsidR="00C23CCB">
        <w:rPr>
          <w:rFonts w:ascii="Arial" w:hAnsi="Arial" w:cs="Arial"/>
          <w:color w:val="212121"/>
          <w:sz w:val="20"/>
          <w:szCs w:val="20"/>
        </w:rPr>
        <w:t>Д</w:t>
      </w:r>
      <w:r>
        <w:rPr>
          <w:rFonts w:ascii="Arial" w:hAnsi="Arial" w:cs="Arial"/>
          <w:color w:val="212121"/>
          <w:sz w:val="20"/>
          <w:szCs w:val="20"/>
        </w:rPr>
        <w:t>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6. </w:t>
      </w:r>
      <w:r w:rsidR="00C23CCB">
        <w:rPr>
          <w:rFonts w:ascii="Arial" w:hAnsi="Arial" w:cs="Arial"/>
          <w:color w:val="212121"/>
          <w:sz w:val="20"/>
          <w:szCs w:val="20"/>
        </w:rPr>
        <w:t>Р</w:t>
      </w:r>
      <w:r>
        <w:rPr>
          <w:rFonts w:ascii="Arial" w:hAnsi="Arial" w:cs="Arial"/>
          <w:color w:val="212121"/>
          <w:sz w:val="20"/>
          <w:szCs w:val="20"/>
        </w:rPr>
        <w:t>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7. </w:t>
      </w:r>
      <w:r w:rsidR="00C23CCB">
        <w:rPr>
          <w:rFonts w:ascii="Arial" w:hAnsi="Arial" w:cs="Arial"/>
          <w:color w:val="212121"/>
          <w:sz w:val="20"/>
          <w:szCs w:val="20"/>
        </w:rPr>
        <w:t>Д</w:t>
      </w:r>
      <w:r>
        <w:rPr>
          <w:rFonts w:ascii="Arial" w:hAnsi="Arial" w:cs="Arial"/>
          <w:color w:val="212121"/>
          <w:sz w:val="20"/>
          <w:szCs w:val="20"/>
        </w:rPr>
        <w:t>окумент, що засвідчує право користування житлом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8. </w:t>
      </w:r>
      <w:r w:rsidR="00C23CCB">
        <w:rPr>
          <w:rFonts w:ascii="Arial" w:hAnsi="Arial" w:cs="Arial"/>
          <w:color w:val="212121"/>
          <w:sz w:val="20"/>
          <w:szCs w:val="20"/>
        </w:rPr>
        <w:t>Д</w:t>
      </w:r>
      <w:r>
        <w:rPr>
          <w:rFonts w:ascii="Arial" w:hAnsi="Arial" w:cs="Arial"/>
          <w:color w:val="212121"/>
          <w:sz w:val="20"/>
          <w:szCs w:val="20"/>
        </w:rPr>
        <w:t>овідка про проходження служби у військовій частині (додаток 10 Правил реєстрації місця проживання, затверджених постановою Кабінету Міністрів України від 02 березня 2016 року № 207);</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9. </w:t>
      </w:r>
      <w:r w:rsidR="00C23CCB">
        <w:rPr>
          <w:rFonts w:ascii="Arial" w:hAnsi="Arial" w:cs="Arial"/>
          <w:color w:val="212121"/>
          <w:sz w:val="20"/>
          <w:szCs w:val="20"/>
        </w:rPr>
        <w:t>А</w:t>
      </w:r>
      <w:r>
        <w:rPr>
          <w:rFonts w:ascii="Arial" w:hAnsi="Arial" w:cs="Arial"/>
          <w:color w:val="212121"/>
          <w:sz w:val="20"/>
          <w:szCs w:val="20"/>
        </w:rPr>
        <w:t>кт обстеження умов проживання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10. </w:t>
      </w:r>
      <w:r w:rsidR="00C23CCB">
        <w:rPr>
          <w:rFonts w:ascii="Arial" w:hAnsi="Arial" w:cs="Arial"/>
          <w:color w:val="212121"/>
          <w:sz w:val="20"/>
          <w:szCs w:val="20"/>
        </w:rPr>
        <w:t>А</w:t>
      </w:r>
      <w:r>
        <w:rPr>
          <w:rFonts w:ascii="Arial" w:hAnsi="Arial" w:cs="Arial"/>
          <w:color w:val="212121"/>
          <w:sz w:val="20"/>
          <w:szCs w:val="20"/>
        </w:rPr>
        <w:t>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7C353F" w:rsidRDefault="007C353F" w:rsidP="007C353F">
      <w:pPr>
        <w:pStyle w:val="a3"/>
        <w:shd w:val="clear" w:color="auto" w:fill="FFFFFF"/>
        <w:spacing w:before="0" w:beforeAutospacing="0" w:after="295" w:afterAutospacing="0"/>
        <w:rPr>
          <w:rFonts w:ascii="Arial" w:hAnsi="Arial" w:cs="Arial"/>
          <w:color w:val="212121"/>
          <w:sz w:val="20"/>
          <w:szCs w:val="20"/>
        </w:rPr>
      </w:pPr>
      <w:r>
        <w:rPr>
          <w:rFonts w:ascii="Arial" w:hAnsi="Arial" w:cs="Arial"/>
          <w:color w:val="212121"/>
          <w:sz w:val="20"/>
          <w:szCs w:val="20"/>
        </w:rPr>
        <w:t xml:space="preserve">11. </w:t>
      </w:r>
      <w:r w:rsidR="00C23CCB">
        <w:rPr>
          <w:rFonts w:ascii="Arial" w:hAnsi="Arial" w:cs="Arial"/>
          <w:color w:val="212121"/>
          <w:sz w:val="20"/>
          <w:szCs w:val="20"/>
        </w:rPr>
        <w:t>Б</w:t>
      </w:r>
      <w:r>
        <w:rPr>
          <w:rFonts w:ascii="Arial" w:hAnsi="Arial" w:cs="Arial"/>
          <w:color w:val="212121"/>
          <w:sz w:val="20"/>
          <w:szCs w:val="20"/>
        </w:rPr>
        <w:t>удь-який інший документ, що ПІДТВЕРДЖУЄ МІСЦЕ ПРОЖИВАННЯ дитини чи одного з її батьків.</w:t>
      </w:r>
    </w:p>
    <w:p w:rsidR="007C353F" w:rsidRDefault="007C353F" w:rsidP="00C23CCB">
      <w:pPr>
        <w:pStyle w:val="a3"/>
        <w:shd w:val="clear" w:color="auto" w:fill="FFFFFF"/>
        <w:spacing w:before="0" w:beforeAutospacing="0" w:after="295" w:afterAutospacing="0"/>
        <w:ind w:firstLine="708"/>
        <w:rPr>
          <w:rFonts w:ascii="Arial" w:hAnsi="Arial" w:cs="Arial"/>
          <w:color w:val="212121"/>
          <w:sz w:val="20"/>
          <w:szCs w:val="20"/>
        </w:rPr>
      </w:pPr>
      <w:r>
        <w:rPr>
          <w:rFonts w:ascii="Arial" w:hAnsi="Arial" w:cs="Arial"/>
          <w:color w:val="212121"/>
          <w:sz w:val="20"/>
          <w:szCs w:val="20"/>
        </w:rPr>
        <w:t>Варто також наголосити на тому, що будь-який офіційний документ, в якому зазначене місце проживання дитини чи одного з її батьків, форма якого визначена законодавством і який виданий органом державної влади чи органом місцевого самоврядування в установленому законодавством порядку, є достатнім для підтвердження місця проживання дитини і відповідно її права на першочергове зарахування до початкової школи.</w:t>
      </w:r>
    </w:p>
    <w:p w:rsidR="007C353F" w:rsidRDefault="007C353F" w:rsidP="00C23CCB">
      <w:pPr>
        <w:pStyle w:val="a3"/>
        <w:shd w:val="clear" w:color="auto" w:fill="FFFFFF"/>
        <w:spacing w:before="0" w:beforeAutospacing="0" w:after="295" w:afterAutospacing="0"/>
        <w:ind w:firstLine="708"/>
        <w:rPr>
          <w:rFonts w:ascii="Arial" w:hAnsi="Arial" w:cs="Arial"/>
          <w:color w:val="212121"/>
          <w:sz w:val="20"/>
          <w:szCs w:val="20"/>
        </w:rPr>
      </w:pPr>
      <w:r>
        <w:rPr>
          <w:rFonts w:ascii="Arial" w:hAnsi="Arial" w:cs="Arial"/>
          <w:color w:val="212121"/>
          <w:sz w:val="20"/>
          <w:szCs w:val="20"/>
        </w:rPr>
        <w:t>Так само достатнім для підтвердження місця проживання може бути будь-який документ, який засвідчує право власності на відповідне житло або право користування ним. Документ, що підтверджує право користування, може бути прийнятним за умови, що користування відповідним житлом є реальним і здійснюється за згодою і волевиявленням власника майна чи орендодавця. Засвідчення цих двох обставин може відбуватися в різний, але прийнятний спосіб.</w:t>
      </w: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47504C">
      <w:pPr>
        <w:shd w:val="clear" w:color="auto" w:fill="FFFFFF"/>
        <w:spacing w:after="375" w:line="240" w:lineRule="auto"/>
        <w:ind w:firstLine="300"/>
        <w:rPr>
          <w:rFonts w:ascii="Times New Roman" w:eastAsia="Times New Roman" w:hAnsi="Times New Roman" w:cs="Times New Roman"/>
          <w:color w:val="000000" w:themeColor="text1"/>
          <w:sz w:val="24"/>
          <w:szCs w:val="24"/>
          <w:lang w:eastAsia="uk-UA"/>
        </w:rPr>
      </w:pPr>
    </w:p>
    <w:p w:rsidR="00C269DF" w:rsidRDefault="00C269DF" w:rsidP="00D8769F">
      <w:pPr>
        <w:shd w:val="clear" w:color="auto" w:fill="FFFFFF"/>
        <w:spacing w:after="375" w:line="240" w:lineRule="auto"/>
        <w:rPr>
          <w:rFonts w:ascii="Times New Roman" w:eastAsia="Times New Roman" w:hAnsi="Times New Roman" w:cs="Times New Roman"/>
          <w:color w:val="000000" w:themeColor="text1"/>
          <w:sz w:val="24"/>
          <w:szCs w:val="24"/>
          <w:lang w:eastAsia="uk-UA"/>
        </w:rPr>
      </w:pPr>
    </w:p>
    <w:sectPr w:rsidR="00C269DF" w:rsidSect="0047504C">
      <w:pgSz w:w="11906" w:h="16838"/>
      <w:pgMar w:top="397"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497"/>
    <w:multiLevelType w:val="multilevel"/>
    <w:tmpl w:val="9626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11FA3"/>
    <w:multiLevelType w:val="hybridMultilevel"/>
    <w:tmpl w:val="24182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2602582"/>
    <w:multiLevelType w:val="multilevel"/>
    <w:tmpl w:val="318A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771DE6"/>
    <w:multiLevelType w:val="multilevel"/>
    <w:tmpl w:val="6B30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084EC9"/>
    <w:multiLevelType w:val="hybridMultilevel"/>
    <w:tmpl w:val="D5C0C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CB12D2"/>
    <w:multiLevelType w:val="multilevel"/>
    <w:tmpl w:val="547A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2E4FF6"/>
    <w:multiLevelType w:val="multilevel"/>
    <w:tmpl w:val="C70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B2E13"/>
    <w:multiLevelType w:val="hybridMultilevel"/>
    <w:tmpl w:val="7980C8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A7C454C"/>
    <w:multiLevelType w:val="multilevel"/>
    <w:tmpl w:val="8988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0"/>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8"/>
    <w:rsid w:val="00121A53"/>
    <w:rsid w:val="003A2011"/>
    <w:rsid w:val="003A3F5B"/>
    <w:rsid w:val="0047504C"/>
    <w:rsid w:val="004B75B0"/>
    <w:rsid w:val="005A235D"/>
    <w:rsid w:val="005E7E46"/>
    <w:rsid w:val="007C353F"/>
    <w:rsid w:val="008D2E65"/>
    <w:rsid w:val="00A02214"/>
    <w:rsid w:val="00BD4BEA"/>
    <w:rsid w:val="00C23CCB"/>
    <w:rsid w:val="00C269DF"/>
    <w:rsid w:val="00CD4858"/>
    <w:rsid w:val="00CD59D3"/>
    <w:rsid w:val="00D20F92"/>
    <w:rsid w:val="00D8769F"/>
    <w:rsid w:val="00DE729F"/>
    <w:rsid w:val="00EB31F9"/>
    <w:rsid w:val="00F95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A22D0-C958-4CBD-93EA-CB163FDE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3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D2E6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3A3F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B3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2E6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D2E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D2E65"/>
    <w:rPr>
      <w:color w:val="0000FF"/>
      <w:u w:val="single"/>
    </w:rPr>
  </w:style>
  <w:style w:type="paragraph" w:styleId="a5">
    <w:name w:val="List Paragraph"/>
    <w:basedOn w:val="a"/>
    <w:uiPriority w:val="34"/>
    <w:qFormat/>
    <w:rsid w:val="00121A53"/>
    <w:pPr>
      <w:ind w:left="720"/>
      <w:contextualSpacing/>
    </w:pPr>
  </w:style>
  <w:style w:type="paragraph" w:styleId="a6">
    <w:name w:val="No Spacing"/>
    <w:uiPriority w:val="1"/>
    <w:qFormat/>
    <w:rsid w:val="00121A53"/>
    <w:pPr>
      <w:spacing w:after="0" w:line="240" w:lineRule="auto"/>
    </w:pPr>
  </w:style>
  <w:style w:type="paragraph" w:styleId="a7">
    <w:name w:val="Balloon Text"/>
    <w:basedOn w:val="a"/>
    <w:link w:val="a8"/>
    <w:uiPriority w:val="99"/>
    <w:semiHidden/>
    <w:unhideWhenUsed/>
    <w:rsid w:val="00121A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1A53"/>
    <w:rPr>
      <w:rFonts w:ascii="Segoe UI" w:hAnsi="Segoe UI" w:cs="Segoe UI"/>
      <w:sz w:val="18"/>
      <w:szCs w:val="18"/>
    </w:rPr>
  </w:style>
  <w:style w:type="character" w:customStyle="1" w:styleId="30">
    <w:name w:val="Заголовок 3 Знак"/>
    <w:basedOn w:val="a0"/>
    <w:link w:val="3"/>
    <w:uiPriority w:val="9"/>
    <w:semiHidden/>
    <w:rsid w:val="003A3F5B"/>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EB31F9"/>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EB31F9"/>
    <w:rPr>
      <w:rFonts w:asciiTheme="majorHAnsi" w:eastAsiaTheme="majorEastAsia" w:hAnsiTheme="majorHAnsi" w:cstheme="majorBidi"/>
      <w:i/>
      <w:iCs/>
      <w:color w:val="2E74B5" w:themeColor="accent1" w:themeShade="BF"/>
    </w:rPr>
  </w:style>
  <w:style w:type="character" w:styleId="a9">
    <w:name w:val="Strong"/>
    <w:basedOn w:val="a0"/>
    <w:uiPriority w:val="22"/>
    <w:qFormat/>
    <w:rsid w:val="00EB31F9"/>
    <w:rPr>
      <w:b/>
      <w:bCs/>
    </w:rPr>
  </w:style>
  <w:style w:type="character" w:styleId="HTML">
    <w:name w:val="HTML Acronym"/>
    <w:basedOn w:val="a0"/>
    <w:uiPriority w:val="99"/>
    <w:semiHidden/>
    <w:unhideWhenUsed/>
    <w:rsid w:val="007C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4135">
      <w:bodyDiv w:val="1"/>
      <w:marLeft w:val="0"/>
      <w:marRight w:val="0"/>
      <w:marTop w:val="0"/>
      <w:marBottom w:val="0"/>
      <w:divBdr>
        <w:top w:val="none" w:sz="0" w:space="0" w:color="auto"/>
        <w:left w:val="none" w:sz="0" w:space="0" w:color="auto"/>
        <w:bottom w:val="none" w:sz="0" w:space="0" w:color="auto"/>
        <w:right w:val="none" w:sz="0" w:space="0" w:color="auto"/>
      </w:divBdr>
    </w:div>
    <w:div w:id="653996158">
      <w:bodyDiv w:val="1"/>
      <w:marLeft w:val="0"/>
      <w:marRight w:val="0"/>
      <w:marTop w:val="0"/>
      <w:marBottom w:val="0"/>
      <w:divBdr>
        <w:top w:val="none" w:sz="0" w:space="0" w:color="auto"/>
        <w:left w:val="none" w:sz="0" w:space="0" w:color="auto"/>
        <w:bottom w:val="none" w:sz="0" w:space="0" w:color="auto"/>
        <w:right w:val="none" w:sz="0" w:space="0" w:color="auto"/>
      </w:divBdr>
    </w:div>
    <w:div w:id="787964902">
      <w:bodyDiv w:val="1"/>
      <w:marLeft w:val="0"/>
      <w:marRight w:val="0"/>
      <w:marTop w:val="0"/>
      <w:marBottom w:val="0"/>
      <w:divBdr>
        <w:top w:val="none" w:sz="0" w:space="0" w:color="auto"/>
        <w:left w:val="none" w:sz="0" w:space="0" w:color="auto"/>
        <w:bottom w:val="none" w:sz="0" w:space="0" w:color="auto"/>
        <w:right w:val="none" w:sz="0" w:space="0" w:color="auto"/>
      </w:divBdr>
    </w:div>
    <w:div w:id="951130018">
      <w:bodyDiv w:val="1"/>
      <w:marLeft w:val="0"/>
      <w:marRight w:val="0"/>
      <w:marTop w:val="0"/>
      <w:marBottom w:val="0"/>
      <w:divBdr>
        <w:top w:val="none" w:sz="0" w:space="0" w:color="auto"/>
        <w:left w:val="none" w:sz="0" w:space="0" w:color="auto"/>
        <w:bottom w:val="none" w:sz="0" w:space="0" w:color="auto"/>
        <w:right w:val="none" w:sz="0" w:space="0" w:color="auto"/>
      </w:divBdr>
    </w:div>
    <w:div w:id="1313753612">
      <w:bodyDiv w:val="1"/>
      <w:marLeft w:val="0"/>
      <w:marRight w:val="0"/>
      <w:marTop w:val="0"/>
      <w:marBottom w:val="0"/>
      <w:divBdr>
        <w:top w:val="none" w:sz="0" w:space="0" w:color="auto"/>
        <w:left w:val="none" w:sz="0" w:space="0" w:color="auto"/>
        <w:bottom w:val="none" w:sz="0" w:space="0" w:color="auto"/>
        <w:right w:val="none" w:sz="0" w:space="0" w:color="auto"/>
      </w:divBdr>
    </w:div>
    <w:div w:id="1386099499">
      <w:bodyDiv w:val="1"/>
      <w:marLeft w:val="0"/>
      <w:marRight w:val="0"/>
      <w:marTop w:val="0"/>
      <w:marBottom w:val="0"/>
      <w:divBdr>
        <w:top w:val="none" w:sz="0" w:space="0" w:color="auto"/>
        <w:left w:val="none" w:sz="0" w:space="0" w:color="auto"/>
        <w:bottom w:val="none" w:sz="0" w:space="0" w:color="auto"/>
        <w:right w:val="none" w:sz="0" w:space="0" w:color="auto"/>
      </w:divBdr>
    </w:div>
    <w:div w:id="1433939309">
      <w:bodyDiv w:val="1"/>
      <w:marLeft w:val="0"/>
      <w:marRight w:val="0"/>
      <w:marTop w:val="0"/>
      <w:marBottom w:val="0"/>
      <w:divBdr>
        <w:top w:val="none" w:sz="0" w:space="0" w:color="auto"/>
        <w:left w:val="none" w:sz="0" w:space="0" w:color="auto"/>
        <w:bottom w:val="none" w:sz="0" w:space="0" w:color="auto"/>
        <w:right w:val="none" w:sz="0" w:space="0" w:color="auto"/>
      </w:divBdr>
    </w:div>
    <w:div w:id="1493135336">
      <w:bodyDiv w:val="1"/>
      <w:marLeft w:val="0"/>
      <w:marRight w:val="0"/>
      <w:marTop w:val="0"/>
      <w:marBottom w:val="0"/>
      <w:divBdr>
        <w:top w:val="none" w:sz="0" w:space="0" w:color="auto"/>
        <w:left w:val="none" w:sz="0" w:space="0" w:color="auto"/>
        <w:bottom w:val="none" w:sz="0" w:space="0" w:color="auto"/>
        <w:right w:val="none" w:sz="0" w:space="0" w:color="auto"/>
      </w:divBdr>
    </w:div>
    <w:div w:id="1893609879">
      <w:bodyDiv w:val="1"/>
      <w:marLeft w:val="0"/>
      <w:marRight w:val="0"/>
      <w:marTop w:val="0"/>
      <w:marBottom w:val="0"/>
      <w:divBdr>
        <w:top w:val="none" w:sz="0" w:space="0" w:color="auto"/>
        <w:left w:val="none" w:sz="0" w:space="0" w:color="auto"/>
        <w:bottom w:val="none" w:sz="0" w:space="0" w:color="auto"/>
        <w:right w:val="none" w:sz="0" w:space="0" w:color="auto"/>
      </w:divBdr>
    </w:div>
    <w:div w:id="20169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Gz_wFGKeop6nu32SIFBw-bhcsy6Twy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OTEUPYvzM0ayoz75JoalMev2bUNZhj2h/view?usp=sharing" TargetMode="External"/><Relationship Id="rId5" Type="http://schemas.openxmlformats.org/officeDocument/2006/relationships/hyperlink" Target="https://privatdovidka.com/wp-content/uploads/2019/11/1-9-22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4869</Words>
  <Characters>2776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Oxana</cp:lastModifiedBy>
  <cp:revision>16</cp:revision>
  <cp:lastPrinted>2021-12-20T09:39:00Z</cp:lastPrinted>
  <dcterms:created xsi:type="dcterms:W3CDTF">2021-12-13T11:00:00Z</dcterms:created>
  <dcterms:modified xsi:type="dcterms:W3CDTF">2022-05-01T12:06:00Z</dcterms:modified>
</cp:coreProperties>
</file>